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D235" w14:textId="77777777" w:rsidR="00ED4084" w:rsidRDefault="005B0242" w:rsidP="005B0242">
      <w:pPr>
        <w:pStyle w:val="Default"/>
        <w:tabs>
          <w:tab w:val="left" w:pos="1905"/>
          <w:tab w:val="center" w:pos="4761"/>
        </w:tabs>
        <w:jc w:val="center"/>
        <w:rPr>
          <w:b/>
          <w:bCs/>
          <w:color w:val="FE462C"/>
          <w:sz w:val="36"/>
          <w:szCs w:val="36"/>
        </w:rPr>
      </w:pPr>
      <w:bookmarkStart w:id="0" w:name="OLE_LINK1"/>
      <w:r w:rsidRPr="00AA33FA">
        <w:rPr>
          <w:noProof/>
          <w:color w:val="FE462C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DA7089" wp14:editId="561F03B6">
            <wp:simplePos x="0" y="0"/>
            <wp:positionH relativeFrom="column">
              <wp:posOffset>165424</wp:posOffset>
            </wp:positionH>
            <wp:positionV relativeFrom="paragraph">
              <wp:posOffset>-270</wp:posOffset>
            </wp:positionV>
            <wp:extent cx="921385" cy="976630"/>
            <wp:effectExtent l="0" t="0" r="0" b="0"/>
            <wp:wrapTight wrapText="bothSides">
              <wp:wrapPolygon edited="0">
                <wp:start x="0" y="0"/>
                <wp:lineTo x="0" y="21066"/>
                <wp:lineTo x="20990" y="21066"/>
                <wp:lineTo x="20990" y="0"/>
                <wp:lineTo x="0" y="0"/>
              </wp:wrapPolygon>
            </wp:wrapTight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E462C"/>
          <w:sz w:val="36"/>
          <w:szCs w:val="36"/>
        </w:rPr>
        <w:t xml:space="preserve"> </w:t>
      </w:r>
    </w:p>
    <w:p w14:paraId="0CE44E3E" w14:textId="552BAD65" w:rsidR="005B0242" w:rsidRPr="00085562" w:rsidRDefault="005B0242" w:rsidP="005B0242">
      <w:pPr>
        <w:pStyle w:val="Default"/>
        <w:tabs>
          <w:tab w:val="left" w:pos="1905"/>
          <w:tab w:val="center" w:pos="4761"/>
        </w:tabs>
        <w:jc w:val="center"/>
        <w:rPr>
          <w:b/>
          <w:bCs/>
          <w:color w:val="FE462C"/>
          <w:sz w:val="36"/>
          <w:szCs w:val="36"/>
        </w:rPr>
      </w:pPr>
      <w:r>
        <w:rPr>
          <w:b/>
          <w:bCs/>
          <w:color w:val="FE462C"/>
          <w:sz w:val="36"/>
          <w:szCs w:val="36"/>
        </w:rPr>
        <w:t>Faites un versement</w:t>
      </w:r>
      <w:r w:rsidR="00ED4084">
        <w:rPr>
          <w:b/>
          <w:bCs/>
          <w:color w:val="FE462C"/>
          <w:sz w:val="36"/>
          <w:szCs w:val="36"/>
        </w:rPr>
        <w:t xml:space="preserve"> sur votre </w:t>
      </w:r>
      <w:r w:rsidR="00ED4084" w:rsidRPr="00085562">
        <w:rPr>
          <w:b/>
          <w:bCs/>
          <w:color w:val="FE462C"/>
          <w:sz w:val="36"/>
          <w:szCs w:val="36"/>
        </w:rPr>
        <w:t>Plan d'Épargne Entreprise (PEE)</w:t>
      </w:r>
      <w:r w:rsidR="00ED4084">
        <w:rPr>
          <w:b/>
          <w:bCs/>
          <w:color w:val="FE462C"/>
          <w:sz w:val="36"/>
          <w:szCs w:val="36"/>
        </w:rPr>
        <w:t xml:space="preserve"> avant</w:t>
      </w:r>
      <w:r>
        <w:rPr>
          <w:b/>
          <w:bCs/>
          <w:color w:val="FE462C"/>
          <w:sz w:val="36"/>
          <w:szCs w:val="36"/>
        </w:rPr>
        <w:t xml:space="preserve"> le 31 mars 202</w:t>
      </w:r>
      <w:r w:rsidR="002A2544">
        <w:rPr>
          <w:b/>
          <w:bCs/>
          <w:color w:val="FE462C"/>
          <w:sz w:val="36"/>
          <w:szCs w:val="36"/>
        </w:rPr>
        <w:t>6</w:t>
      </w:r>
      <w:r>
        <w:rPr>
          <w:b/>
          <w:bCs/>
          <w:color w:val="FE462C"/>
          <w:sz w:val="36"/>
          <w:szCs w:val="36"/>
        </w:rPr>
        <w:t xml:space="preserve"> pour obtenir l’abondement !</w:t>
      </w:r>
    </w:p>
    <w:bookmarkEnd w:id="0"/>
    <w:p w14:paraId="262F8044" w14:textId="77777777" w:rsidR="00DD195C" w:rsidRDefault="00DD195C" w:rsidP="00085562">
      <w:pPr>
        <w:rPr>
          <w:b/>
          <w:bCs/>
          <w:sz w:val="24"/>
          <w:szCs w:val="24"/>
          <w:lang w:val="fr-FR"/>
        </w:rPr>
      </w:pPr>
    </w:p>
    <w:p w14:paraId="59F35589" w14:textId="5D47CA7A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1. Introduction au PEE</w:t>
      </w:r>
    </w:p>
    <w:p w14:paraId="6725430E" w14:textId="72AA3F9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 xml:space="preserve">Le Plan d'Épargne Entreprise (PEE) est un dispositif d'épargne collectif permettant aux salariés </w:t>
      </w:r>
      <w:r>
        <w:rPr>
          <w:sz w:val="24"/>
          <w:szCs w:val="24"/>
          <w:lang w:val="fr-FR"/>
        </w:rPr>
        <w:t xml:space="preserve">de la société </w:t>
      </w:r>
      <w:r w:rsidRPr="00085562">
        <w:rPr>
          <w:sz w:val="24"/>
          <w:szCs w:val="24"/>
          <w:lang w:val="fr-FR"/>
        </w:rPr>
        <w:t xml:space="preserve">de se constituer un portefeuille de valeurs mobilières avec l'aide de </w:t>
      </w:r>
      <w:r>
        <w:rPr>
          <w:sz w:val="24"/>
          <w:szCs w:val="24"/>
          <w:lang w:val="fr-FR"/>
        </w:rPr>
        <w:t>Kyndryl</w:t>
      </w:r>
      <w:r w:rsidRPr="00085562">
        <w:rPr>
          <w:sz w:val="24"/>
          <w:szCs w:val="24"/>
          <w:lang w:val="fr-FR"/>
        </w:rPr>
        <w:t>. Il offre des avantages fiscaux et permet de bénéficier d'un abondement</w:t>
      </w:r>
    </w:p>
    <w:p w14:paraId="1B8A6B92" w14:textId="77777777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2. Éligibilité</w:t>
      </w:r>
    </w:p>
    <w:p w14:paraId="284D80B4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Qui peut bénéficier du PEE ?</w:t>
      </w:r>
    </w:p>
    <w:p w14:paraId="404F49DD" w14:textId="4CD50DED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Tous les salariés de l'entreprise peuvent bénéficier du PEE, sous réserve d</w:t>
      </w:r>
      <w:r>
        <w:rPr>
          <w:sz w:val="24"/>
          <w:szCs w:val="24"/>
          <w:lang w:val="fr-FR"/>
        </w:rPr>
        <w:t>’avoir 3 mois d’ancienneté</w:t>
      </w:r>
    </w:p>
    <w:p w14:paraId="3CD18046" w14:textId="77777777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3. Fonctionnement du PEE</w:t>
      </w:r>
    </w:p>
    <w:p w14:paraId="4C32C0DD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Versements :</w:t>
      </w:r>
    </w:p>
    <w:p w14:paraId="521DCA68" w14:textId="570749A8" w:rsidR="00085562" w:rsidRPr="00085562" w:rsidRDefault="00085562" w:rsidP="00085562">
      <w:pPr>
        <w:numPr>
          <w:ilvl w:val="0"/>
          <w:numId w:val="12"/>
        </w:num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Versements volontaires</w:t>
      </w:r>
      <w:r w:rsidRPr="00085562">
        <w:rPr>
          <w:sz w:val="24"/>
          <w:szCs w:val="24"/>
          <w:lang w:val="fr-FR"/>
        </w:rPr>
        <w:t> : Les salariés peuvent effectuer des versements volontaires, dans la limite de 25 % de leur rémunération annuelle brute</w:t>
      </w:r>
      <w:r>
        <w:rPr>
          <w:sz w:val="24"/>
          <w:szCs w:val="24"/>
          <w:lang w:val="fr-FR"/>
        </w:rPr>
        <w:t xml:space="preserve"> et chaque versement s’élève au minimum à </w:t>
      </w:r>
      <w:r w:rsidR="000E6F29">
        <w:rPr>
          <w:sz w:val="24"/>
          <w:szCs w:val="24"/>
          <w:lang w:val="fr-FR"/>
        </w:rPr>
        <w:t>1</w:t>
      </w:r>
      <w:r>
        <w:rPr>
          <w:sz w:val="24"/>
          <w:szCs w:val="24"/>
          <w:lang w:val="fr-FR"/>
        </w:rPr>
        <w:t>5€</w:t>
      </w:r>
      <w:r w:rsidR="000E6F29">
        <w:rPr>
          <w:sz w:val="24"/>
          <w:szCs w:val="24"/>
          <w:lang w:val="fr-FR"/>
        </w:rPr>
        <w:t>. Les versements ponctuels sont possibles par virement, prélèvement ou CB. Vous pouvez également faire des versements programmés par prélèvement bancaire</w:t>
      </w:r>
    </w:p>
    <w:p w14:paraId="5BEAD5BD" w14:textId="33D15F2E" w:rsidR="00085562" w:rsidRDefault="00085562" w:rsidP="00085562">
      <w:pPr>
        <w:numPr>
          <w:ilvl w:val="0"/>
          <w:numId w:val="12"/>
        </w:num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Abondement de l</w:t>
      </w:r>
      <w:r>
        <w:rPr>
          <w:b/>
          <w:bCs/>
          <w:sz w:val="24"/>
          <w:szCs w:val="24"/>
          <w:lang w:val="fr-FR"/>
        </w:rPr>
        <w:t>a société</w:t>
      </w:r>
      <w:r w:rsidR="00EA6DCD">
        <w:rPr>
          <w:sz w:val="24"/>
          <w:szCs w:val="24"/>
          <w:lang w:val="fr-FR"/>
        </w:rPr>
        <w:t> : La société abondera sur les versements volontaires, dans la limite d’un plafond égale à 620€ par an et correspondant à l’année fiscale (1</w:t>
      </w:r>
      <w:r w:rsidR="00EA6DCD" w:rsidRPr="00EA6DCD">
        <w:rPr>
          <w:sz w:val="24"/>
          <w:szCs w:val="24"/>
          <w:vertAlign w:val="superscript"/>
          <w:lang w:val="fr-FR"/>
        </w:rPr>
        <w:t>er</w:t>
      </w:r>
      <w:r w:rsidR="00EA6DCD">
        <w:rPr>
          <w:sz w:val="24"/>
          <w:szCs w:val="24"/>
          <w:lang w:val="fr-FR"/>
        </w:rPr>
        <w:t xml:space="preserve"> avril N au 31 mars N+1) avec la répartition suivante </w:t>
      </w:r>
    </w:p>
    <w:p w14:paraId="3B554281" w14:textId="65DA6C7F" w:rsidR="007C0C34" w:rsidRDefault="007C0C34" w:rsidP="007C0C34">
      <w:pPr>
        <w:ind w:left="360"/>
        <w:rPr>
          <w:sz w:val="24"/>
          <w:szCs w:val="24"/>
          <w:lang w:val="fr-FR"/>
        </w:rPr>
      </w:pPr>
      <w:r w:rsidRPr="007C0C34">
        <w:rPr>
          <w:sz w:val="24"/>
          <w:szCs w:val="24"/>
          <w:lang w:val="fr-FR"/>
        </w:rPr>
        <w:t>Cet abondement sera dégressif par tranches</w:t>
      </w:r>
      <w:r>
        <w:rPr>
          <w:sz w:val="24"/>
          <w:szCs w:val="24"/>
          <w:lang w:val="fr-FR"/>
        </w:rPr>
        <w:t xml:space="preserve">. </w:t>
      </w:r>
      <w:r w:rsidRPr="007C0C34">
        <w:rPr>
          <w:sz w:val="24"/>
          <w:szCs w:val="24"/>
          <w:lang w:val="fr-FR"/>
        </w:rPr>
        <w:t>Abondement</w:t>
      </w:r>
      <w:r>
        <w:rPr>
          <w:sz w:val="24"/>
          <w:szCs w:val="24"/>
          <w:lang w:val="fr-FR"/>
        </w:rPr>
        <w:t xml:space="preserve"> est</w:t>
      </w:r>
      <w:r w:rsidRPr="007C0C34">
        <w:rPr>
          <w:sz w:val="24"/>
          <w:szCs w:val="24"/>
          <w:lang w:val="fr-FR"/>
        </w:rPr>
        <w:t xml:space="preserve"> variable en fonction du montant déjà versé</w:t>
      </w:r>
      <w:r>
        <w:rPr>
          <w:sz w:val="24"/>
          <w:szCs w:val="24"/>
          <w:lang w:val="fr-FR"/>
        </w:rPr>
        <w:t xml:space="preserve"> </w:t>
      </w:r>
      <w:r w:rsidRPr="007C0C34">
        <w:rPr>
          <w:sz w:val="24"/>
          <w:szCs w:val="24"/>
          <w:lang w:val="fr-FR"/>
        </w:rPr>
        <w:t>cumulé à mon nouveau versement. À chaque tranche s'applique un taux d'abondement spécifique de :</w:t>
      </w:r>
    </w:p>
    <w:p w14:paraId="600CD42A" w14:textId="1BC1C065" w:rsidR="007C0C34" w:rsidRPr="007C0C34" w:rsidRDefault="007C0C34" w:rsidP="005B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/>
        <w:jc w:val="center"/>
        <w:rPr>
          <w:sz w:val="24"/>
          <w:szCs w:val="24"/>
          <w:lang w:val="fr-FR"/>
        </w:rPr>
      </w:pPr>
      <w:r w:rsidRPr="007C0C34">
        <w:rPr>
          <w:sz w:val="24"/>
          <w:szCs w:val="24"/>
          <w:lang w:val="fr-FR"/>
        </w:rPr>
        <w:t>Entre 0 et 100€ : 150% d'abondement</w:t>
      </w:r>
    </w:p>
    <w:p w14:paraId="67342CEB" w14:textId="77777777" w:rsidR="007C0C34" w:rsidRPr="007C0C34" w:rsidRDefault="007C0C34" w:rsidP="005B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/>
        <w:jc w:val="center"/>
        <w:rPr>
          <w:sz w:val="24"/>
          <w:szCs w:val="24"/>
          <w:lang w:val="fr-FR"/>
        </w:rPr>
      </w:pPr>
      <w:r w:rsidRPr="007C0C34">
        <w:rPr>
          <w:sz w:val="24"/>
          <w:szCs w:val="24"/>
          <w:lang w:val="fr-FR"/>
        </w:rPr>
        <w:t>Entre 101€ et 500€ : 75% d'abondement</w:t>
      </w:r>
    </w:p>
    <w:p w14:paraId="7FCF9502" w14:textId="57AC0F28" w:rsidR="00EA6DCD" w:rsidRDefault="007C0C34" w:rsidP="005B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/>
        <w:jc w:val="center"/>
        <w:rPr>
          <w:sz w:val="24"/>
          <w:szCs w:val="24"/>
          <w:lang w:val="fr-FR"/>
        </w:rPr>
      </w:pPr>
      <w:r w:rsidRPr="007C0C34">
        <w:rPr>
          <w:sz w:val="24"/>
          <w:szCs w:val="24"/>
          <w:lang w:val="fr-FR"/>
        </w:rPr>
        <w:t>Entre 501€ et 1350€ : 20% d'abondement</w:t>
      </w:r>
    </w:p>
    <w:p w14:paraId="484669C8" w14:textId="6B593096" w:rsidR="000E6F29" w:rsidRPr="00085562" w:rsidRDefault="007C0C34" w:rsidP="00EA6DCD">
      <w:p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L’abondement maximale de 620€ brut est </w:t>
      </w:r>
      <w:r w:rsidR="00775CB5">
        <w:rPr>
          <w:sz w:val="24"/>
          <w:szCs w:val="24"/>
          <w:lang w:val="fr-FR"/>
        </w:rPr>
        <w:t>obtenu</w:t>
      </w:r>
      <w:r>
        <w:rPr>
          <w:sz w:val="24"/>
          <w:szCs w:val="24"/>
          <w:lang w:val="fr-FR"/>
        </w:rPr>
        <w:t xml:space="preserve"> lorsque le cumule des versements atteint un minimum de 1350€</w:t>
      </w:r>
    </w:p>
    <w:p w14:paraId="5B16AB52" w14:textId="77777777" w:rsidR="00085562" w:rsidRPr="00085562" w:rsidRDefault="00085562" w:rsidP="00085562">
      <w:pPr>
        <w:numPr>
          <w:ilvl w:val="0"/>
          <w:numId w:val="12"/>
        </w:num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Intéressement et participation</w:t>
      </w:r>
      <w:r w:rsidRPr="00085562">
        <w:rPr>
          <w:sz w:val="24"/>
          <w:szCs w:val="24"/>
          <w:lang w:val="fr-FR"/>
        </w:rPr>
        <w:t> : Les primes d'intéressement et de participation peuvent également être versées sur le PEE.</w:t>
      </w:r>
    </w:p>
    <w:p w14:paraId="7D4EAFCC" w14:textId="77777777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4. Gestion des Fonds</w:t>
      </w:r>
    </w:p>
    <w:p w14:paraId="4EBB290F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Choix des supports d'investissement :</w:t>
      </w:r>
    </w:p>
    <w:p w14:paraId="77C1C584" w14:textId="6848161A" w:rsidR="00DD195C" w:rsidRDefault="00085562" w:rsidP="00DD195C">
      <w:pPr>
        <w:tabs>
          <w:tab w:val="num" w:pos="720"/>
        </w:tabs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 xml:space="preserve">Les fonds </w:t>
      </w:r>
      <w:r w:rsidR="00EA6DCD">
        <w:rPr>
          <w:sz w:val="24"/>
          <w:szCs w:val="24"/>
          <w:lang w:val="fr-FR"/>
        </w:rPr>
        <w:t xml:space="preserve">versés sur le </w:t>
      </w:r>
      <w:r w:rsidR="00DD195C">
        <w:rPr>
          <w:sz w:val="24"/>
          <w:szCs w:val="24"/>
          <w:lang w:val="fr-FR"/>
        </w:rPr>
        <w:t xml:space="preserve">PEE </w:t>
      </w:r>
      <w:r w:rsidR="00EA6DCD">
        <w:rPr>
          <w:sz w:val="24"/>
          <w:szCs w:val="24"/>
          <w:lang w:val="fr-FR"/>
        </w:rPr>
        <w:t>par les participants ou la société sont employés à l’acquisition de fonds commun de placement d’entreprise (FCPE)</w:t>
      </w:r>
      <w:r w:rsidRPr="00085562">
        <w:rPr>
          <w:sz w:val="24"/>
          <w:szCs w:val="24"/>
          <w:lang w:val="fr-FR"/>
        </w:rPr>
        <w:t xml:space="preserve"> </w:t>
      </w:r>
      <w:r w:rsidR="00DD195C">
        <w:rPr>
          <w:sz w:val="24"/>
          <w:szCs w:val="24"/>
          <w:lang w:val="fr-FR"/>
        </w:rPr>
        <w:t>selon les critères suivants</w:t>
      </w:r>
    </w:p>
    <w:p w14:paraId="41C47717" w14:textId="62BC958A" w:rsidR="00085562" w:rsidRPr="00DD195C" w:rsidRDefault="00085562" w:rsidP="00DD195C">
      <w:pPr>
        <w:pStyle w:val="Paragraphedeliste"/>
        <w:numPr>
          <w:ilvl w:val="0"/>
          <w:numId w:val="16"/>
        </w:numPr>
        <w:tabs>
          <w:tab w:val="num" w:pos="720"/>
        </w:tabs>
        <w:rPr>
          <w:sz w:val="24"/>
          <w:szCs w:val="24"/>
          <w:lang w:val="fr-FR"/>
        </w:rPr>
      </w:pPr>
      <w:r w:rsidRPr="00DD195C">
        <w:rPr>
          <w:b/>
          <w:bCs/>
          <w:sz w:val="24"/>
          <w:szCs w:val="24"/>
          <w:lang w:val="fr-FR"/>
        </w:rPr>
        <w:lastRenderedPageBreak/>
        <w:t>Fonds monétaires</w:t>
      </w:r>
      <w:r w:rsidRPr="00DD195C">
        <w:rPr>
          <w:sz w:val="24"/>
          <w:szCs w:val="24"/>
          <w:lang w:val="fr-FR"/>
        </w:rPr>
        <w:t> : Faible risque, faible rendement.</w:t>
      </w:r>
    </w:p>
    <w:p w14:paraId="29198A31" w14:textId="77777777" w:rsidR="00085562" w:rsidRPr="00085562" w:rsidRDefault="00085562" w:rsidP="00085562">
      <w:pPr>
        <w:numPr>
          <w:ilvl w:val="0"/>
          <w:numId w:val="13"/>
        </w:num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Fonds obligataires</w:t>
      </w:r>
      <w:r w:rsidRPr="00085562">
        <w:rPr>
          <w:sz w:val="24"/>
          <w:szCs w:val="24"/>
          <w:lang w:val="fr-FR"/>
        </w:rPr>
        <w:t> : Risque modéré, rendement modéré.</w:t>
      </w:r>
    </w:p>
    <w:p w14:paraId="53D755A9" w14:textId="77777777" w:rsidR="00085562" w:rsidRPr="00085562" w:rsidRDefault="00085562" w:rsidP="00085562">
      <w:pPr>
        <w:numPr>
          <w:ilvl w:val="0"/>
          <w:numId w:val="13"/>
        </w:num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Fonds actions</w:t>
      </w:r>
      <w:r w:rsidRPr="00085562">
        <w:rPr>
          <w:sz w:val="24"/>
          <w:szCs w:val="24"/>
          <w:lang w:val="fr-FR"/>
        </w:rPr>
        <w:t> : Risque élevé, potentiel de rendement élevé.</w:t>
      </w:r>
    </w:p>
    <w:p w14:paraId="06FE28C3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Risques et rendements :</w:t>
      </w:r>
    </w:p>
    <w:p w14:paraId="5F6E77B0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Le choix des supports d'investissement dépend de votre profil d'investisseur et de votre tolérance au risque. Il est important de diversifier vos investissements pour réduire les risques.</w:t>
      </w:r>
    </w:p>
    <w:p w14:paraId="2BF27348" w14:textId="77777777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5. Disponibilité des Fonds</w:t>
      </w:r>
    </w:p>
    <w:p w14:paraId="0F3D4A8E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Blocage des fonds :</w:t>
      </w:r>
    </w:p>
    <w:p w14:paraId="3D61E24F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Les fonds sont bloqués pendant une durée de 5 ans, sauf cas de déblocage anticipé.</w:t>
      </w:r>
    </w:p>
    <w:p w14:paraId="6F33B76E" w14:textId="77777777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Cas de déblocage anticipé :</w:t>
      </w:r>
    </w:p>
    <w:p w14:paraId="2E10E2C9" w14:textId="77777777" w:rsidR="00085562" w:rsidRPr="00085562" w:rsidRDefault="00085562" w:rsidP="00085562">
      <w:pPr>
        <w:numPr>
          <w:ilvl w:val="0"/>
          <w:numId w:val="14"/>
        </w:num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Mariage ou PACS</w:t>
      </w:r>
    </w:p>
    <w:p w14:paraId="58D8FB2E" w14:textId="77777777" w:rsidR="00085562" w:rsidRPr="00085562" w:rsidRDefault="00085562" w:rsidP="00085562">
      <w:pPr>
        <w:numPr>
          <w:ilvl w:val="0"/>
          <w:numId w:val="14"/>
        </w:num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Naissance ou adoption d'un enfant</w:t>
      </w:r>
    </w:p>
    <w:p w14:paraId="1728FC77" w14:textId="77777777" w:rsidR="00085562" w:rsidRPr="00085562" w:rsidRDefault="00085562" w:rsidP="00085562">
      <w:pPr>
        <w:numPr>
          <w:ilvl w:val="0"/>
          <w:numId w:val="14"/>
        </w:num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Achat de la résidence principale</w:t>
      </w:r>
    </w:p>
    <w:p w14:paraId="1A6A1229" w14:textId="77777777" w:rsidR="00085562" w:rsidRPr="00085562" w:rsidRDefault="00085562" w:rsidP="00085562">
      <w:pPr>
        <w:numPr>
          <w:ilvl w:val="0"/>
          <w:numId w:val="14"/>
        </w:num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>Invalidité ou décès</w:t>
      </w:r>
    </w:p>
    <w:p w14:paraId="724779D2" w14:textId="77777777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6. Fiscalité</w:t>
      </w:r>
    </w:p>
    <w:p w14:paraId="57796451" w14:textId="799D158A" w:rsidR="00085562" w:rsidRPr="00085562" w:rsidRDefault="00085562" w:rsidP="00085562">
      <w:pPr>
        <w:rPr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Avantages fiscaux :</w:t>
      </w:r>
      <w:r w:rsidR="005B0242">
        <w:rPr>
          <w:sz w:val="24"/>
          <w:szCs w:val="24"/>
          <w:lang w:val="fr-FR"/>
        </w:rPr>
        <w:t xml:space="preserve"> </w:t>
      </w:r>
      <w:r w:rsidRPr="00085562">
        <w:rPr>
          <w:sz w:val="24"/>
          <w:szCs w:val="24"/>
          <w:lang w:val="fr-FR"/>
        </w:rPr>
        <w:t xml:space="preserve">Les sommes versées sur le PEE sont exonérées d'impôt sur le revenu, mais soumises aux prélèvements sociaux. Les plus-values sont également exonérées d'impôt sur le revenu, mais soumises aux prélèvements </w:t>
      </w:r>
      <w:r w:rsidR="000E6F29" w:rsidRPr="00085562">
        <w:rPr>
          <w:sz w:val="24"/>
          <w:szCs w:val="24"/>
          <w:lang w:val="fr-FR"/>
        </w:rPr>
        <w:t>sociaux</w:t>
      </w:r>
      <w:r w:rsidR="000E6F29">
        <w:rPr>
          <w:sz w:val="24"/>
          <w:szCs w:val="24"/>
          <w:lang w:val="fr-FR"/>
        </w:rPr>
        <w:t xml:space="preserve"> (</w:t>
      </w:r>
      <w:r w:rsidR="004A4E32" w:rsidRPr="004A4E32">
        <w:rPr>
          <w:sz w:val="24"/>
          <w:szCs w:val="24"/>
          <w:lang w:val="fr-FR"/>
        </w:rPr>
        <w:t>CSG/CRDS</w:t>
      </w:r>
      <w:r w:rsidR="004A4E32">
        <w:rPr>
          <w:sz w:val="24"/>
          <w:szCs w:val="24"/>
          <w:lang w:val="fr-FR"/>
        </w:rPr>
        <w:t>)</w:t>
      </w:r>
    </w:p>
    <w:p w14:paraId="117D93A5" w14:textId="3176AD04" w:rsidR="00085562" w:rsidRPr="00085562" w:rsidRDefault="00085562" w:rsidP="00085562">
      <w:pPr>
        <w:rPr>
          <w:b/>
          <w:bCs/>
          <w:sz w:val="24"/>
          <w:szCs w:val="24"/>
          <w:lang w:val="fr-FR"/>
        </w:rPr>
      </w:pPr>
      <w:r w:rsidRPr="00085562">
        <w:rPr>
          <w:b/>
          <w:bCs/>
          <w:sz w:val="24"/>
          <w:szCs w:val="24"/>
          <w:lang w:val="fr-FR"/>
        </w:rPr>
        <w:t>7. Accès au compte :</w:t>
      </w:r>
    </w:p>
    <w:p w14:paraId="48D133AC" w14:textId="77777777" w:rsidR="00D41D46" w:rsidRDefault="00C6775B" w:rsidP="00085562">
      <w:pPr>
        <w:rPr>
          <w:sz w:val="24"/>
          <w:szCs w:val="24"/>
          <w:lang w:val="fr-FR"/>
        </w:rPr>
      </w:pPr>
      <w:r w:rsidRPr="00C6775B">
        <w:rPr>
          <w:sz w:val="24"/>
          <w:szCs w:val="24"/>
          <w:lang w:val="fr-FR"/>
        </w:rPr>
        <w:t>Le Teneur de compte d</w:t>
      </w:r>
      <w:r>
        <w:rPr>
          <w:sz w:val="24"/>
          <w:szCs w:val="24"/>
          <w:lang w:val="fr-FR"/>
        </w:rPr>
        <w:t>u</w:t>
      </w:r>
      <w:r w:rsidRPr="00C6775B">
        <w:rPr>
          <w:sz w:val="24"/>
          <w:szCs w:val="24"/>
          <w:lang w:val="fr-FR"/>
        </w:rPr>
        <w:t xml:space="preserve"> PEE est Natixis Interépargne</w:t>
      </w:r>
      <w:r>
        <w:rPr>
          <w:sz w:val="24"/>
          <w:szCs w:val="24"/>
          <w:lang w:val="fr-FR"/>
        </w:rPr>
        <w:t xml:space="preserve"> : </w:t>
      </w:r>
      <w:hyperlink r:id="rId12" w:tgtFrame="_blank" w:history="1">
        <w:r w:rsidR="00D41D46" w:rsidRPr="00D41D46">
          <w:rPr>
            <w:rStyle w:val="Lienhypertexte"/>
            <w:sz w:val="24"/>
            <w:szCs w:val="24"/>
            <w:lang w:val="fr-FR"/>
          </w:rPr>
          <w:t>https://epargnants.interepargne.natixis.fr</w:t>
        </w:r>
      </w:hyperlink>
    </w:p>
    <w:p w14:paraId="217C4A08" w14:textId="6D115C37" w:rsidR="00C6775B" w:rsidRDefault="005B0242" w:rsidP="00085562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Activez votre compte à partir du mail </w:t>
      </w:r>
      <w:r w:rsidR="00D41D46">
        <w:rPr>
          <w:sz w:val="24"/>
          <w:szCs w:val="24"/>
          <w:lang w:val="fr-FR"/>
        </w:rPr>
        <w:t xml:space="preserve">reçu </w:t>
      </w:r>
      <w:r>
        <w:rPr>
          <w:sz w:val="24"/>
          <w:szCs w:val="24"/>
          <w:lang w:val="fr-FR"/>
        </w:rPr>
        <w:t>de Natixis Interepargne (début avril 2024)</w:t>
      </w:r>
    </w:p>
    <w:p w14:paraId="56A583D7" w14:textId="16E0D5D1" w:rsidR="005B0242" w:rsidRPr="00085562" w:rsidRDefault="005B0242" w:rsidP="005B0242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8</w:t>
      </w:r>
      <w:r w:rsidRPr="00085562">
        <w:rPr>
          <w:b/>
          <w:bCs/>
          <w:sz w:val="24"/>
          <w:szCs w:val="24"/>
          <w:lang w:val="fr-FR"/>
        </w:rPr>
        <w:t xml:space="preserve">. </w:t>
      </w:r>
      <w:r>
        <w:rPr>
          <w:b/>
          <w:bCs/>
          <w:sz w:val="24"/>
          <w:szCs w:val="24"/>
          <w:lang w:val="fr-FR"/>
        </w:rPr>
        <w:t>Faire un versement</w:t>
      </w:r>
      <w:r w:rsidRPr="00085562">
        <w:rPr>
          <w:b/>
          <w:bCs/>
          <w:sz w:val="24"/>
          <w:szCs w:val="24"/>
          <w:lang w:val="fr-FR"/>
        </w:rPr>
        <w:t xml:space="preserve"> :</w:t>
      </w:r>
    </w:p>
    <w:p w14:paraId="78FA3DF7" w14:textId="6DDD2CC8" w:rsidR="005B0242" w:rsidRPr="00C6775B" w:rsidRDefault="005B0242" w:rsidP="00085562">
      <w:pPr>
        <w:rPr>
          <w:sz w:val="24"/>
          <w:szCs w:val="24"/>
          <w:lang w:val="fr-FR"/>
        </w:rPr>
      </w:pPr>
      <w:r w:rsidRPr="005B0242">
        <w:rPr>
          <w:noProof/>
          <w:sz w:val="24"/>
          <w:szCs w:val="24"/>
          <w:lang w:val="fr-FR"/>
        </w:rPr>
        <w:drawing>
          <wp:inline distT="0" distB="0" distL="0" distR="0" wp14:anchorId="590BF24F" wp14:editId="2F33F3B3">
            <wp:extent cx="2694562" cy="906741"/>
            <wp:effectExtent l="0" t="0" r="0" b="8255"/>
            <wp:docPr id="1279995552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95552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6495" cy="91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3AC5D" w14:textId="24D54E8B" w:rsidR="00085562" w:rsidRPr="00085562" w:rsidRDefault="005B0242" w:rsidP="00085562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9</w:t>
      </w:r>
      <w:r w:rsidR="00085562" w:rsidRPr="00085562">
        <w:rPr>
          <w:b/>
          <w:bCs/>
          <w:sz w:val="24"/>
          <w:szCs w:val="24"/>
          <w:lang w:val="fr-FR"/>
        </w:rPr>
        <w:t>. Contacts et Ressources</w:t>
      </w:r>
    </w:p>
    <w:p w14:paraId="5DF172DA" w14:textId="1CB82A40" w:rsidR="008D786B" w:rsidRPr="00085562" w:rsidRDefault="00085562" w:rsidP="6FEF709F">
      <w:pPr>
        <w:rPr>
          <w:sz w:val="24"/>
          <w:szCs w:val="24"/>
          <w:lang w:val="fr-FR"/>
        </w:rPr>
      </w:pPr>
      <w:r w:rsidRPr="00085562">
        <w:rPr>
          <w:sz w:val="24"/>
          <w:szCs w:val="24"/>
          <w:lang w:val="fr-FR"/>
        </w:rPr>
        <w:t xml:space="preserve">Pour toute question, </w:t>
      </w:r>
      <w:r w:rsidR="00775CB5">
        <w:rPr>
          <w:sz w:val="24"/>
          <w:szCs w:val="24"/>
          <w:lang w:val="fr-FR"/>
        </w:rPr>
        <w:t>n’</w:t>
      </w:r>
      <w:r w:rsidR="005B0242">
        <w:rPr>
          <w:sz w:val="24"/>
          <w:szCs w:val="24"/>
          <w:lang w:val="fr-FR"/>
        </w:rPr>
        <w:t>hésitez</w:t>
      </w:r>
      <w:r w:rsidR="00775CB5">
        <w:rPr>
          <w:sz w:val="24"/>
          <w:szCs w:val="24"/>
          <w:lang w:val="fr-FR"/>
        </w:rPr>
        <w:t xml:space="preserve"> pas à contacter vo</w:t>
      </w:r>
      <w:r w:rsidR="005B0242">
        <w:rPr>
          <w:sz w:val="24"/>
          <w:szCs w:val="24"/>
          <w:lang w:val="fr-FR"/>
        </w:rPr>
        <w:t>s</w:t>
      </w:r>
      <w:r w:rsidR="00775CB5">
        <w:rPr>
          <w:sz w:val="24"/>
          <w:szCs w:val="24"/>
          <w:lang w:val="fr-FR"/>
        </w:rPr>
        <w:t xml:space="preserve"> élu</w:t>
      </w:r>
      <w:r w:rsidR="005B0242">
        <w:rPr>
          <w:sz w:val="24"/>
          <w:szCs w:val="24"/>
          <w:lang w:val="fr-FR"/>
        </w:rPr>
        <w:t>s</w:t>
      </w:r>
      <w:r w:rsidR="00775CB5">
        <w:rPr>
          <w:sz w:val="24"/>
          <w:szCs w:val="24"/>
          <w:lang w:val="fr-FR"/>
        </w:rPr>
        <w:t xml:space="preserve"> </w:t>
      </w:r>
      <w:hyperlink r:id="rId14" w:history="1">
        <w:r w:rsidR="00775CB5" w:rsidRPr="00775CB5">
          <w:rPr>
            <w:rStyle w:val="Lienhypertexte"/>
            <w:sz w:val="24"/>
            <w:szCs w:val="24"/>
            <w:lang w:val="fr-FR"/>
          </w:rPr>
          <w:t>CFE-CGC</w:t>
        </w:r>
      </w:hyperlink>
      <w:r w:rsidR="00775CB5">
        <w:rPr>
          <w:sz w:val="24"/>
          <w:szCs w:val="24"/>
          <w:lang w:val="fr-FR"/>
        </w:rPr>
        <w:t xml:space="preserve"> </w:t>
      </w:r>
      <w:r w:rsidR="005B0242">
        <w:rPr>
          <w:sz w:val="24"/>
          <w:szCs w:val="24"/>
          <w:lang w:val="fr-FR"/>
        </w:rPr>
        <w:t>ou l</w:t>
      </w:r>
      <w:r w:rsidR="005B0242" w:rsidRPr="005B0242">
        <w:rPr>
          <w:sz w:val="24"/>
          <w:szCs w:val="24"/>
          <w:lang w:val="fr-FR"/>
        </w:rPr>
        <w:t>es téléconseillers Natixis au</w:t>
      </w:r>
      <w:r w:rsidR="005B0242">
        <w:rPr>
          <w:sz w:val="24"/>
          <w:szCs w:val="24"/>
          <w:lang w:val="fr-FR"/>
        </w:rPr>
        <w:t xml:space="preserve"> </w:t>
      </w:r>
      <w:r w:rsidR="005B0242" w:rsidRPr="005B0242">
        <w:rPr>
          <w:sz w:val="24"/>
          <w:szCs w:val="24"/>
          <w:lang w:val="fr-FR"/>
        </w:rPr>
        <w:t>02 31 07 74 00</w:t>
      </w:r>
      <w:r w:rsidR="005B0242">
        <w:rPr>
          <w:sz w:val="24"/>
          <w:szCs w:val="24"/>
          <w:lang w:val="fr-FR"/>
        </w:rPr>
        <w:t xml:space="preserve"> </w:t>
      </w:r>
      <w:r w:rsidR="005B0242" w:rsidRPr="005B0242">
        <w:rPr>
          <w:sz w:val="24"/>
          <w:szCs w:val="24"/>
          <w:lang w:val="fr-FR"/>
        </w:rPr>
        <w:t>du lundi au ven</w:t>
      </w:r>
      <w:r w:rsidR="005B0242">
        <w:rPr>
          <w:sz w:val="24"/>
          <w:szCs w:val="24"/>
          <w:lang w:val="fr-FR"/>
        </w:rPr>
        <w:t xml:space="preserve">dredi </w:t>
      </w:r>
      <w:r w:rsidR="005B0242" w:rsidRPr="005B0242">
        <w:rPr>
          <w:sz w:val="24"/>
          <w:szCs w:val="24"/>
          <w:lang w:val="fr-FR"/>
        </w:rPr>
        <w:t>de 8h30 à 18h</w:t>
      </w:r>
      <w:r w:rsidR="005B0242">
        <w:rPr>
          <w:sz w:val="24"/>
          <w:szCs w:val="24"/>
          <w:lang w:val="fr-FR"/>
        </w:rPr>
        <w:t xml:space="preserve">. </w:t>
      </w:r>
      <w:r w:rsidR="00775CB5">
        <w:rPr>
          <w:sz w:val="24"/>
          <w:szCs w:val="24"/>
          <w:lang w:val="fr-FR"/>
        </w:rPr>
        <w:t>D</w:t>
      </w:r>
      <w:r w:rsidR="00C6775B">
        <w:rPr>
          <w:sz w:val="24"/>
          <w:szCs w:val="24"/>
          <w:lang w:val="fr-FR"/>
        </w:rPr>
        <w:t xml:space="preserve">es ressources </w:t>
      </w:r>
      <w:r w:rsidR="00775CB5">
        <w:rPr>
          <w:sz w:val="24"/>
          <w:szCs w:val="24"/>
          <w:lang w:val="fr-FR"/>
        </w:rPr>
        <w:t xml:space="preserve">sont également </w:t>
      </w:r>
      <w:r w:rsidR="00C6775B">
        <w:rPr>
          <w:sz w:val="24"/>
          <w:szCs w:val="24"/>
          <w:lang w:val="fr-FR"/>
        </w:rPr>
        <w:t xml:space="preserve">disponibles sur </w:t>
      </w:r>
      <w:r w:rsidR="005B0242">
        <w:rPr>
          <w:sz w:val="24"/>
          <w:szCs w:val="24"/>
          <w:lang w:val="fr-FR"/>
        </w:rPr>
        <w:t xml:space="preserve">l’intranet Kyndryl à l’adresse suivante </w:t>
      </w:r>
      <w:hyperlink r:id="rId15" w:history="1">
        <w:r w:rsidR="00C6775B" w:rsidRPr="00C6775B">
          <w:rPr>
            <w:rStyle w:val="Lienhypertexte"/>
            <w:sz w:val="24"/>
            <w:szCs w:val="24"/>
            <w:lang w:val="fr-FR"/>
          </w:rPr>
          <w:t>Plan d’épargne entreprise</w:t>
        </w:r>
      </w:hyperlink>
      <w:r w:rsidR="00775CB5">
        <w:rPr>
          <w:sz w:val="24"/>
          <w:szCs w:val="24"/>
          <w:lang w:val="fr-FR"/>
        </w:rPr>
        <w:t>.</w:t>
      </w:r>
    </w:p>
    <w:sectPr w:rsidR="008D786B" w:rsidRPr="00085562" w:rsidSect="009F7C07">
      <w:footerReference w:type="default" r:id="rId16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5B41" w14:textId="77777777" w:rsidR="000255D6" w:rsidRDefault="000255D6" w:rsidP="006D59A9">
      <w:pPr>
        <w:spacing w:after="0" w:line="240" w:lineRule="auto"/>
      </w:pPr>
      <w:r>
        <w:separator/>
      </w:r>
    </w:p>
  </w:endnote>
  <w:endnote w:type="continuationSeparator" w:id="0">
    <w:p w14:paraId="5063CC4E" w14:textId="77777777" w:rsidR="000255D6" w:rsidRDefault="000255D6" w:rsidP="006D59A9">
      <w:pPr>
        <w:spacing w:after="0" w:line="240" w:lineRule="auto"/>
      </w:pPr>
      <w:r>
        <w:continuationSeparator/>
      </w:r>
    </w:p>
  </w:endnote>
  <w:endnote w:type="continuationNotice" w:id="1">
    <w:p w14:paraId="16A7A713" w14:textId="77777777" w:rsidR="000255D6" w:rsidRDefault="00025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FE20" w14:textId="234DAA02" w:rsidR="00D47F13" w:rsidRPr="00D47F13" w:rsidRDefault="00544A01" w:rsidP="00D47F13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70C0"/>
        <w:sz w:val="36"/>
        <w:szCs w:val="36"/>
        <w:lang w:val="fr-FR"/>
      </w:rPr>
    </w:pPr>
    <w:r w:rsidRPr="003A6EA2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1E6D40AD" wp14:editId="0D23F075">
          <wp:simplePos x="0" y="0"/>
          <wp:positionH relativeFrom="margin">
            <wp:posOffset>-246185</wp:posOffset>
          </wp:positionH>
          <wp:positionV relativeFrom="paragraph">
            <wp:posOffset>8059</wp:posOffset>
          </wp:positionV>
          <wp:extent cx="685800" cy="685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F13" w:rsidRPr="00D47F13">
      <w:t xml:space="preserve"> </w:t>
    </w:r>
    <w:hyperlink r:id="rId2" w:history="1">
      <w:r w:rsidR="00D47F13" w:rsidRPr="00D47F13">
        <w:rPr>
          <w:rStyle w:val="Lienhypertexte"/>
          <w:b/>
          <w:bCs/>
          <w:noProof/>
          <w:sz w:val="32"/>
          <w:szCs w:val="32"/>
          <w:lang w:val="fr-FR"/>
        </w:rPr>
        <w:t>https://kyndryl.sharepoint.com/sites/cfe-cgc-kyndryl</w:t>
      </w:r>
    </w:hyperlink>
    <w:r w:rsidR="00D47F13" w:rsidRPr="00D47F13">
      <w:rPr>
        <w:rFonts w:ascii="Arial" w:hAnsi="Arial" w:cs="Arial"/>
        <w:b/>
        <w:bCs/>
        <w:color w:val="0070C0"/>
        <w:sz w:val="40"/>
        <w:szCs w:val="40"/>
        <w:lang w:val="fr-FR"/>
      </w:rPr>
      <w:t xml:space="preserve"> </w:t>
    </w:r>
  </w:p>
  <w:p w14:paraId="5224F175" w14:textId="2A7F4F7D" w:rsidR="00F863EF" w:rsidRDefault="00D47F13" w:rsidP="00D47F13">
    <w:pPr>
      <w:autoSpaceDE w:val="0"/>
      <w:autoSpaceDN w:val="0"/>
      <w:adjustRightInd w:val="0"/>
      <w:spacing w:after="0" w:line="240" w:lineRule="auto"/>
      <w:jc w:val="center"/>
      <w:rPr>
        <w:rStyle w:val="Lienhypertexte"/>
        <w:rFonts w:ascii="Arial" w:hAnsi="Arial" w:cs="Arial"/>
        <w:b/>
        <w:bCs/>
        <w:sz w:val="28"/>
        <w:szCs w:val="28"/>
        <w:lang w:val="fr-FR"/>
      </w:rPr>
    </w:pPr>
    <w:hyperlink r:id="rId3" w:history="1">
      <w:r w:rsidRPr="00D47F13">
        <w:rPr>
          <w:rStyle w:val="Lienhypertexte"/>
          <w:rFonts w:ascii="Arial" w:hAnsi="Arial" w:cs="Arial"/>
          <w:b/>
          <w:bCs/>
          <w:sz w:val="28"/>
          <w:szCs w:val="28"/>
          <w:lang w:val="fr-FR"/>
        </w:rPr>
        <w:t>https://www.cfecgc-kyndryl.fr</w:t>
      </w:r>
    </w:hyperlink>
  </w:p>
  <w:p w14:paraId="7119369A" w14:textId="01FA88A4" w:rsidR="00D94A60" w:rsidRPr="00D94A60" w:rsidRDefault="00CC1ACF" w:rsidP="002D048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70C0"/>
        <w:sz w:val="28"/>
        <w:szCs w:val="28"/>
        <w:lang w:val="fr-FR"/>
      </w:rPr>
    </w:pPr>
    <w:r>
      <w:rPr>
        <w:rFonts w:ascii="Roboto" w:hAnsi="Roboto"/>
        <w:b/>
        <w:bCs/>
        <w:color w:val="0070C0"/>
        <w:spacing w:val="3"/>
        <w:sz w:val="21"/>
        <w:szCs w:val="21"/>
        <w:shd w:val="clear" w:color="auto" w:fill="FFFFFF"/>
        <w:lang w:val="fr-FR"/>
      </w:rPr>
      <w:t xml:space="preserve">Nous contacter : </w:t>
    </w:r>
    <w:r w:rsidR="00E60483">
      <w:rPr>
        <w:rFonts w:ascii="Roboto" w:hAnsi="Roboto"/>
        <w:b/>
        <w:bCs/>
        <w:color w:val="0070C0"/>
        <w:spacing w:val="3"/>
        <w:sz w:val="21"/>
        <w:szCs w:val="21"/>
        <w:shd w:val="clear" w:color="auto" w:fill="FFFFFF"/>
        <w:lang w:val="fr-FR"/>
      </w:rPr>
      <w:t>Philippe Tancelin 06.87.86.47.88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04CE" w14:textId="77777777" w:rsidR="000255D6" w:rsidRDefault="000255D6" w:rsidP="006D59A9">
      <w:pPr>
        <w:spacing w:after="0" w:line="240" w:lineRule="auto"/>
      </w:pPr>
      <w:r>
        <w:separator/>
      </w:r>
    </w:p>
  </w:footnote>
  <w:footnote w:type="continuationSeparator" w:id="0">
    <w:p w14:paraId="52B2CB04" w14:textId="77777777" w:rsidR="000255D6" w:rsidRDefault="000255D6" w:rsidP="006D59A9">
      <w:pPr>
        <w:spacing w:after="0" w:line="240" w:lineRule="auto"/>
      </w:pPr>
      <w:r>
        <w:continuationSeparator/>
      </w:r>
    </w:p>
  </w:footnote>
  <w:footnote w:type="continuationNotice" w:id="1">
    <w:p w14:paraId="52DCC6F1" w14:textId="77777777" w:rsidR="000255D6" w:rsidRDefault="000255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184"/>
    <w:multiLevelType w:val="hybridMultilevel"/>
    <w:tmpl w:val="F7F4F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16F"/>
    <w:multiLevelType w:val="hybridMultilevel"/>
    <w:tmpl w:val="81F8AFB6"/>
    <w:lvl w:ilvl="0" w:tplc="892E4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5200"/>
    <w:multiLevelType w:val="multilevel"/>
    <w:tmpl w:val="408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252B0"/>
    <w:multiLevelType w:val="multilevel"/>
    <w:tmpl w:val="FAEE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C939D9"/>
    <w:multiLevelType w:val="multilevel"/>
    <w:tmpl w:val="1524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A09FA"/>
    <w:multiLevelType w:val="multilevel"/>
    <w:tmpl w:val="C50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80582"/>
    <w:multiLevelType w:val="hybridMultilevel"/>
    <w:tmpl w:val="0D747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18CB"/>
    <w:multiLevelType w:val="hybridMultilevel"/>
    <w:tmpl w:val="97700C1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3910EF4"/>
    <w:multiLevelType w:val="multilevel"/>
    <w:tmpl w:val="A7784C2E"/>
    <w:lvl w:ilvl="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077E43"/>
    <w:multiLevelType w:val="multilevel"/>
    <w:tmpl w:val="2D8A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F10D2"/>
    <w:multiLevelType w:val="hybridMultilevel"/>
    <w:tmpl w:val="6C043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64CD3"/>
    <w:multiLevelType w:val="hybridMultilevel"/>
    <w:tmpl w:val="21F88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32A"/>
    <w:multiLevelType w:val="multilevel"/>
    <w:tmpl w:val="FEA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7D03F4"/>
    <w:multiLevelType w:val="multilevel"/>
    <w:tmpl w:val="97F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FD11C2"/>
    <w:multiLevelType w:val="hybridMultilevel"/>
    <w:tmpl w:val="D7209FD2"/>
    <w:lvl w:ilvl="0" w:tplc="9F4836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73BA"/>
    <w:multiLevelType w:val="hybridMultilevel"/>
    <w:tmpl w:val="CE9CF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42531">
    <w:abstractNumId w:val="14"/>
  </w:num>
  <w:num w:numId="2" w16cid:durableId="989090233">
    <w:abstractNumId w:val="11"/>
  </w:num>
  <w:num w:numId="3" w16cid:durableId="1782410477">
    <w:abstractNumId w:val="0"/>
  </w:num>
  <w:num w:numId="4" w16cid:durableId="1675451146">
    <w:abstractNumId w:val="8"/>
  </w:num>
  <w:num w:numId="5" w16cid:durableId="1750536139">
    <w:abstractNumId w:val="10"/>
  </w:num>
  <w:num w:numId="6" w16cid:durableId="545532236">
    <w:abstractNumId w:val="7"/>
  </w:num>
  <w:num w:numId="7" w16cid:durableId="1062993973">
    <w:abstractNumId w:val="6"/>
  </w:num>
  <w:num w:numId="8" w16cid:durableId="1432049240">
    <w:abstractNumId w:val="9"/>
  </w:num>
  <w:num w:numId="9" w16cid:durableId="2052344607">
    <w:abstractNumId w:val="5"/>
  </w:num>
  <w:num w:numId="10" w16cid:durableId="1548908717">
    <w:abstractNumId w:val="4"/>
  </w:num>
  <w:num w:numId="11" w16cid:durableId="2031491455">
    <w:abstractNumId w:val="1"/>
  </w:num>
  <w:num w:numId="12" w16cid:durableId="933706418">
    <w:abstractNumId w:val="13"/>
  </w:num>
  <w:num w:numId="13" w16cid:durableId="1891529462">
    <w:abstractNumId w:val="2"/>
  </w:num>
  <w:num w:numId="14" w16cid:durableId="585382110">
    <w:abstractNumId w:val="3"/>
  </w:num>
  <w:num w:numId="15" w16cid:durableId="180705852">
    <w:abstractNumId w:val="12"/>
  </w:num>
  <w:num w:numId="16" w16cid:durableId="475948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E"/>
    <w:rsid w:val="00016460"/>
    <w:rsid w:val="000255D6"/>
    <w:rsid w:val="00032D72"/>
    <w:rsid w:val="00041DF6"/>
    <w:rsid w:val="00050290"/>
    <w:rsid w:val="0005405C"/>
    <w:rsid w:val="00060F23"/>
    <w:rsid w:val="000650EB"/>
    <w:rsid w:val="00077FE2"/>
    <w:rsid w:val="00085562"/>
    <w:rsid w:val="00086F42"/>
    <w:rsid w:val="00091554"/>
    <w:rsid w:val="00093AA1"/>
    <w:rsid w:val="000964C0"/>
    <w:rsid w:val="000978E3"/>
    <w:rsid w:val="000A1BBC"/>
    <w:rsid w:val="000A4F04"/>
    <w:rsid w:val="000A71A5"/>
    <w:rsid w:val="000B50DE"/>
    <w:rsid w:val="000C1ADB"/>
    <w:rsid w:val="000C5E2F"/>
    <w:rsid w:val="000E0AF3"/>
    <w:rsid w:val="000E6F29"/>
    <w:rsid w:val="000F0F69"/>
    <w:rsid w:val="00103F7E"/>
    <w:rsid w:val="0010570A"/>
    <w:rsid w:val="00121577"/>
    <w:rsid w:val="001263CF"/>
    <w:rsid w:val="0013797E"/>
    <w:rsid w:val="001678CE"/>
    <w:rsid w:val="00185C3B"/>
    <w:rsid w:val="001A2D27"/>
    <w:rsid w:val="001C5FBE"/>
    <w:rsid w:val="001F5948"/>
    <w:rsid w:val="00205C68"/>
    <w:rsid w:val="00217BAC"/>
    <w:rsid w:val="002475FD"/>
    <w:rsid w:val="00255EFA"/>
    <w:rsid w:val="00257C24"/>
    <w:rsid w:val="00270781"/>
    <w:rsid w:val="002709A7"/>
    <w:rsid w:val="002836F5"/>
    <w:rsid w:val="002A2544"/>
    <w:rsid w:val="002B7B7C"/>
    <w:rsid w:val="002C10A8"/>
    <w:rsid w:val="002C2D37"/>
    <w:rsid w:val="002C4760"/>
    <w:rsid w:val="002D0488"/>
    <w:rsid w:val="002D3150"/>
    <w:rsid w:val="002E134B"/>
    <w:rsid w:val="002E7224"/>
    <w:rsid w:val="00304B5C"/>
    <w:rsid w:val="0031552F"/>
    <w:rsid w:val="003166B3"/>
    <w:rsid w:val="003422E5"/>
    <w:rsid w:val="00344440"/>
    <w:rsid w:val="003458C9"/>
    <w:rsid w:val="003458F2"/>
    <w:rsid w:val="00353536"/>
    <w:rsid w:val="00362B3B"/>
    <w:rsid w:val="00374485"/>
    <w:rsid w:val="00377DA1"/>
    <w:rsid w:val="003814A7"/>
    <w:rsid w:val="003843BA"/>
    <w:rsid w:val="00387931"/>
    <w:rsid w:val="00397DB0"/>
    <w:rsid w:val="003A2F78"/>
    <w:rsid w:val="003A6EA2"/>
    <w:rsid w:val="003B67EB"/>
    <w:rsid w:val="003B6EBF"/>
    <w:rsid w:val="003C0E9B"/>
    <w:rsid w:val="003C1D5C"/>
    <w:rsid w:val="003F7019"/>
    <w:rsid w:val="0040056A"/>
    <w:rsid w:val="00402BF0"/>
    <w:rsid w:val="00416093"/>
    <w:rsid w:val="00444A60"/>
    <w:rsid w:val="00452A79"/>
    <w:rsid w:val="0046760F"/>
    <w:rsid w:val="00477AA4"/>
    <w:rsid w:val="00481EA7"/>
    <w:rsid w:val="004826FD"/>
    <w:rsid w:val="0048310F"/>
    <w:rsid w:val="00494CCD"/>
    <w:rsid w:val="00494EC3"/>
    <w:rsid w:val="00497D36"/>
    <w:rsid w:val="004A26E8"/>
    <w:rsid w:val="004A4E32"/>
    <w:rsid w:val="004A50DB"/>
    <w:rsid w:val="004B1261"/>
    <w:rsid w:val="004B2B99"/>
    <w:rsid w:val="004B4EE5"/>
    <w:rsid w:val="004C1D0B"/>
    <w:rsid w:val="004C4DAF"/>
    <w:rsid w:val="004C7809"/>
    <w:rsid w:val="004D02AB"/>
    <w:rsid w:val="004D1135"/>
    <w:rsid w:val="004D6937"/>
    <w:rsid w:val="004E15CD"/>
    <w:rsid w:val="004F05CC"/>
    <w:rsid w:val="004F16DB"/>
    <w:rsid w:val="005014CF"/>
    <w:rsid w:val="0050343E"/>
    <w:rsid w:val="00544A01"/>
    <w:rsid w:val="005518D9"/>
    <w:rsid w:val="0057075A"/>
    <w:rsid w:val="00582A62"/>
    <w:rsid w:val="00594664"/>
    <w:rsid w:val="005978F3"/>
    <w:rsid w:val="005B0242"/>
    <w:rsid w:val="005B2228"/>
    <w:rsid w:val="005C1D8B"/>
    <w:rsid w:val="005C5CF1"/>
    <w:rsid w:val="005E57EE"/>
    <w:rsid w:val="005E705F"/>
    <w:rsid w:val="005F44EA"/>
    <w:rsid w:val="00601EAB"/>
    <w:rsid w:val="00613AE1"/>
    <w:rsid w:val="0061506A"/>
    <w:rsid w:val="00621225"/>
    <w:rsid w:val="00626552"/>
    <w:rsid w:val="0066208D"/>
    <w:rsid w:val="0066386F"/>
    <w:rsid w:val="00667A11"/>
    <w:rsid w:val="00687432"/>
    <w:rsid w:val="00692190"/>
    <w:rsid w:val="00694E8B"/>
    <w:rsid w:val="006952B6"/>
    <w:rsid w:val="006A6735"/>
    <w:rsid w:val="006B359F"/>
    <w:rsid w:val="006D1EBD"/>
    <w:rsid w:val="006D459F"/>
    <w:rsid w:val="006D59A9"/>
    <w:rsid w:val="006F4AC6"/>
    <w:rsid w:val="006F54C6"/>
    <w:rsid w:val="0071245E"/>
    <w:rsid w:val="00715218"/>
    <w:rsid w:val="00724782"/>
    <w:rsid w:val="00724D41"/>
    <w:rsid w:val="007360E8"/>
    <w:rsid w:val="00737F49"/>
    <w:rsid w:val="007539D9"/>
    <w:rsid w:val="00773048"/>
    <w:rsid w:val="00775CB5"/>
    <w:rsid w:val="00790A20"/>
    <w:rsid w:val="00793BFF"/>
    <w:rsid w:val="007A790B"/>
    <w:rsid w:val="007C0C34"/>
    <w:rsid w:val="007C10B9"/>
    <w:rsid w:val="007C5A37"/>
    <w:rsid w:val="007D64C4"/>
    <w:rsid w:val="007F33D2"/>
    <w:rsid w:val="007F6EFD"/>
    <w:rsid w:val="008068A1"/>
    <w:rsid w:val="0082013A"/>
    <w:rsid w:val="0084194E"/>
    <w:rsid w:val="00856032"/>
    <w:rsid w:val="00866223"/>
    <w:rsid w:val="008810E0"/>
    <w:rsid w:val="00885CBC"/>
    <w:rsid w:val="00890922"/>
    <w:rsid w:val="008B505E"/>
    <w:rsid w:val="008D3922"/>
    <w:rsid w:val="008D786B"/>
    <w:rsid w:val="008E0476"/>
    <w:rsid w:val="008E4BE6"/>
    <w:rsid w:val="00904139"/>
    <w:rsid w:val="0091544A"/>
    <w:rsid w:val="00921614"/>
    <w:rsid w:val="0092571F"/>
    <w:rsid w:val="009414EE"/>
    <w:rsid w:val="00954FDC"/>
    <w:rsid w:val="00964085"/>
    <w:rsid w:val="009A452E"/>
    <w:rsid w:val="009A535E"/>
    <w:rsid w:val="009C14C3"/>
    <w:rsid w:val="009C28AC"/>
    <w:rsid w:val="009C4F8C"/>
    <w:rsid w:val="009E4D6A"/>
    <w:rsid w:val="009E509A"/>
    <w:rsid w:val="009E62C9"/>
    <w:rsid w:val="009F7C07"/>
    <w:rsid w:val="00A11653"/>
    <w:rsid w:val="00A15583"/>
    <w:rsid w:val="00A166F5"/>
    <w:rsid w:val="00A25726"/>
    <w:rsid w:val="00A41BB1"/>
    <w:rsid w:val="00A5019B"/>
    <w:rsid w:val="00A84346"/>
    <w:rsid w:val="00A84E0E"/>
    <w:rsid w:val="00A902E6"/>
    <w:rsid w:val="00A969A7"/>
    <w:rsid w:val="00AA33FA"/>
    <w:rsid w:val="00AB02B1"/>
    <w:rsid w:val="00AB5246"/>
    <w:rsid w:val="00AD1B26"/>
    <w:rsid w:val="00AD3A5C"/>
    <w:rsid w:val="00AD53A8"/>
    <w:rsid w:val="00AE3C8A"/>
    <w:rsid w:val="00AE4469"/>
    <w:rsid w:val="00AE4C6E"/>
    <w:rsid w:val="00AE74FE"/>
    <w:rsid w:val="00AF59C3"/>
    <w:rsid w:val="00B039EC"/>
    <w:rsid w:val="00B1751B"/>
    <w:rsid w:val="00B36841"/>
    <w:rsid w:val="00B42F56"/>
    <w:rsid w:val="00B646FD"/>
    <w:rsid w:val="00B65E72"/>
    <w:rsid w:val="00B66C71"/>
    <w:rsid w:val="00B961BD"/>
    <w:rsid w:val="00BA2DE6"/>
    <w:rsid w:val="00BA47CB"/>
    <w:rsid w:val="00BA6A66"/>
    <w:rsid w:val="00BB2CCC"/>
    <w:rsid w:val="00BB3B72"/>
    <w:rsid w:val="00BB5769"/>
    <w:rsid w:val="00BC59E9"/>
    <w:rsid w:val="00BC7CAA"/>
    <w:rsid w:val="00BD0BE5"/>
    <w:rsid w:val="00BD2E0E"/>
    <w:rsid w:val="00BE4572"/>
    <w:rsid w:val="00BE6802"/>
    <w:rsid w:val="00BF3624"/>
    <w:rsid w:val="00C1307F"/>
    <w:rsid w:val="00C17E58"/>
    <w:rsid w:val="00C434C9"/>
    <w:rsid w:val="00C519DD"/>
    <w:rsid w:val="00C5320F"/>
    <w:rsid w:val="00C55007"/>
    <w:rsid w:val="00C61AF1"/>
    <w:rsid w:val="00C6775B"/>
    <w:rsid w:val="00C8637A"/>
    <w:rsid w:val="00C902C1"/>
    <w:rsid w:val="00C97CE0"/>
    <w:rsid w:val="00CA1961"/>
    <w:rsid w:val="00CA5BD7"/>
    <w:rsid w:val="00CC1362"/>
    <w:rsid w:val="00CC1ACF"/>
    <w:rsid w:val="00CD6B32"/>
    <w:rsid w:val="00CE50CC"/>
    <w:rsid w:val="00D20723"/>
    <w:rsid w:val="00D3579E"/>
    <w:rsid w:val="00D41D46"/>
    <w:rsid w:val="00D444CB"/>
    <w:rsid w:val="00D47F13"/>
    <w:rsid w:val="00D5445E"/>
    <w:rsid w:val="00D55245"/>
    <w:rsid w:val="00D84D00"/>
    <w:rsid w:val="00D84FD3"/>
    <w:rsid w:val="00D92C06"/>
    <w:rsid w:val="00D94A60"/>
    <w:rsid w:val="00D970BA"/>
    <w:rsid w:val="00DB1405"/>
    <w:rsid w:val="00DC3C5E"/>
    <w:rsid w:val="00DD09D4"/>
    <w:rsid w:val="00DD195C"/>
    <w:rsid w:val="00DD51B1"/>
    <w:rsid w:val="00DD536D"/>
    <w:rsid w:val="00DE4D3F"/>
    <w:rsid w:val="00DF26D3"/>
    <w:rsid w:val="00DF356F"/>
    <w:rsid w:val="00E02572"/>
    <w:rsid w:val="00E02A4A"/>
    <w:rsid w:val="00E06477"/>
    <w:rsid w:val="00E077C3"/>
    <w:rsid w:val="00E1329F"/>
    <w:rsid w:val="00E37A7B"/>
    <w:rsid w:val="00E40E2C"/>
    <w:rsid w:val="00E422B0"/>
    <w:rsid w:val="00E44617"/>
    <w:rsid w:val="00E60483"/>
    <w:rsid w:val="00E60D1A"/>
    <w:rsid w:val="00E77572"/>
    <w:rsid w:val="00E81B96"/>
    <w:rsid w:val="00E91579"/>
    <w:rsid w:val="00EA0B89"/>
    <w:rsid w:val="00EA6DCD"/>
    <w:rsid w:val="00EB305E"/>
    <w:rsid w:val="00EB4251"/>
    <w:rsid w:val="00EC5E04"/>
    <w:rsid w:val="00ED2C7E"/>
    <w:rsid w:val="00ED4084"/>
    <w:rsid w:val="00ED41A6"/>
    <w:rsid w:val="00ED4DED"/>
    <w:rsid w:val="00EE024F"/>
    <w:rsid w:val="00EE19FA"/>
    <w:rsid w:val="00F17079"/>
    <w:rsid w:val="00F27A58"/>
    <w:rsid w:val="00F433EE"/>
    <w:rsid w:val="00F54BAE"/>
    <w:rsid w:val="00F61982"/>
    <w:rsid w:val="00F623DB"/>
    <w:rsid w:val="00F771FA"/>
    <w:rsid w:val="00F82469"/>
    <w:rsid w:val="00F8312F"/>
    <w:rsid w:val="00F8407A"/>
    <w:rsid w:val="00F863EF"/>
    <w:rsid w:val="00F91A34"/>
    <w:rsid w:val="00F9384C"/>
    <w:rsid w:val="00F978DF"/>
    <w:rsid w:val="00FE2585"/>
    <w:rsid w:val="00FE5614"/>
    <w:rsid w:val="00FE70C2"/>
    <w:rsid w:val="03FEC433"/>
    <w:rsid w:val="0631A058"/>
    <w:rsid w:val="097222A8"/>
    <w:rsid w:val="0C26D58C"/>
    <w:rsid w:val="12E64D2A"/>
    <w:rsid w:val="142C1473"/>
    <w:rsid w:val="1492F6DD"/>
    <w:rsid w:val="18794C03"/>
    <w:rsid w:val="18FDD6BC"/>
    <w:rsid w:val="212C9BA7"/>
    <w:rsid w:val="237F4242"/>
    <w:rsid w:val="24039937"/>
    <w:rsid w:val="269E9B95"/>
    <w:rsid w:val="273B54B5"/>
    <w:rsid w:val="2C3698E6"/>
    <w:rsid w:val="2D165E14"/>
    <w:rsid w:val="2ECA1BA8"/>
    <w:rsid w:val="2ECF4CCC"/>
    <w:rsid w:val="3290B39C"/>
    <w:rsid w:val="337D3A0A"/>
    <w:rsid w:val="3411F46C"/>
    <w:rsid w:val="3C41C72F"/>
    <w:rsid w:val="44A6E1D1"/>
    <w:rsid w:val="4F8EA8E4"/>
    <w:rsid w:val="577C2428"/>
    <w:rsid w:val="593E235B"/>
    <w:rsid w:val="5BDF3F4E"/>
    <w:rsid w:val="6192CF8E"/>
    <w:rsid w:val="61E8F7D0"/>
    <w:rsid w:val="637CFB80"/>
    <w:rsid w:val="63B583AE"/>
    <w:rsid w:val="6E5D5F65"/>
    <w:rsid w:val="6FEF709F"/>
    <w:rsid w:val="7154D321"/>
    <w:rsid w:val="71A88575"/>
    <w:rsid w:val="7F1B342A"/>
    <w:rsid w:val="7F99E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6A3D"/>
  <w15:chartTrackingRefBased/>
  <w15:docId w15:val="{C4B6A2E3-DC7E-49D1-A985-394D5624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7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0B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0B89"/>
    <w:rPr>
      <w:color w:val="605E5C"/>
      <w:shd w:val="clear" w:color="auto" w:fill="E1DFDD"/>
    </w:rPr>
  </w:style>
  <w:style w:type="paragraph" w:customStyle="1" w:styleId="Professiondefoi">
    <w:name w:val="Profession de foi"/>
    <w:basedOn w:val="Normal"/>
    <w:link w:val="ProfessiondefoiCar"/>
    <w:qFormat/>
    <w:rsid w:val="009F7C07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val="fr-FR"/>
    </w:rPr>
  </w:style>
  <w:style w:type="character" w:customStyle="1" w:styleId="ProfessiondefoiCar">
    <w:name w:val="Profession de foi Car"/>
    <w:basedOn w:val="Policepardfaut"/>
    <w:link w:val="Professiondefoi"/>
    <w:rsid w:val="009F7C07"/>
    <w:rPr>
      <w:rFonts w:ascii="Arial" w:eastAsia="Times New Roman" w:hAnsi="Arial" w:cs="Arial"/>
      <w:sz w:val="26"/>
      <w:szCs w:val="26"/>
      <w:lang w:val="fr-FR"/>
    </w:rPr>
  </w:style>
  <w:style w:type="table" w:styleId="Grilledutableau">
    <w:name w:val="Table Grid"/>
    <w:basedOn w:val="TableauNormal"/>
    <w:uiPriority w:val="39"/>
    <w:rsid w:val="009F7C07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646F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D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9A9"/>
  </w:style>
  <w:style w:type="paragraph" w:styleId="Pieddepage">
    <w:name w:val="footer"/>
    <w:basedOn w:val="Normal"/>
    <w:link w:val="PieddepageCar"/>
    <w:uiPriority w:val="99"/>
    <w:unhideWhenUsed/>
    <w:rsid w:val="006D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9A9"/>
  </w:style>
  <w:style w:type="paragraph" w:customStyle="1" w:styleId="Default">
    <w:name w:val="Default"/>
    <w:rsid w:val="00715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2B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p1">
    <w:name w:val="p1"/>
    <w:basedOn w:val="Normal"/>
    <w:rsid w:val="00E37A7B"/>
    <w:pPr>
      <w:spacing w:after="0" w:line="240" w:lineRule="auto"/>
    </w:pPr>
    <w:rPr>
      <w:rFonts w:ascii="Helvetica" w:hAnsi="Helvetica" w:cs="Calibri"/>
      <w:sz w:val="17"/>
      <w:szCs w:val="17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proofpoint.com/v2/url?u=https-3A__click.email.interepargne.natixis.com_-3Fqs-3Df9656cfcc6d9c545ac18b90e79b6fd5548895aad31d8f2585554cda424a45260ad8333f6f75a2670812c22472e73690192a3eaf7fdcd72c5&amp;d=DwMDaQ&amp;c=cCoa5WWAB7EEETJScYfkXg&amp;r=d-EkU1N4Nzmq1OuAq607grv3ch6i0GrmyunV3uUQfDc&amp;m=tg7_vFYNPAv_DMbWSWrffJg1T6qmAlyLjD__caY4ucM9VrvCxh4ih6dg7baOSJnj&amp;s=DZL8UpSlWP6gpB-KXxMYfe5hXle2jRhwc3E_6wH6mbc&amp;e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yndrylde.sharepoint.com/sites/HR_France_Benefits_Financial/SitePages/Plan-d%E2%80%99%C3%A9pargne-entreprise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fecgc-kyndryl.fr/contac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fecgc-kyndryl.fr/" TargetMode="External"/><Relationship Id="rId2" Type="http://schemas.openxmlformats.org/officeDocument/2006/relationships/hyperlink" Target="https://kyndryl.sharepoint.com/sites/cfe-cgc-kyndry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C45F33AD203419BA762AB078F1BD7" ma:contentTypeVersion="13" ma:contentTypeDescription="Create a new document." ma:contentTypeScope="" ma:versionID="969a31b3318cdf1a1c3288d4ab0c504a">
  <xsd:schema xmlns:xsd="http://www.w3.org/2001/XMLSchema" xmlns:xs="http://www.w3.org/2001/XMLSchema" xmlns:p="http://schemas.microsoft.com/office/2006/metadata/properties" xmlns:ns1="http://schemas.microsoft.com/sharepoint/v3" xmlns:ns2="efd9c498-efb6-4a67-92eb-5d787b147d1d" targetNamespace="http://schemas.microsoft.com/office/2006/metadata/properties" ma:root="true" ma:fieldsID="ba23c2af51d739452f245968c8b1b8da" ns1:_="" ns2:_="">
    <xsd:import namespace="http://schemas.microsoft.com/sharepoint/v3"/>
    <xsd:import namespace="efd9c498-efb6-4a67-92eb-5d787b147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c498-efb6-4a67-92eb-5d787b147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101172-0cdf-4a4d-852d-90099e45c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d9c498-efb6-4a67-92eb-5d787b147d1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401DB2-0D49-4168-99A9-2801B6747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6898A-5CDE-410C-BEDC-54747E51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9c498-efb6-4a67-92eb-5d787b147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21D25-EA21-492A-A5CF-7347C48FE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015FC-041E-4DF3-9B25-79DF768A806A}">
  <ds:schemaRefs>
    <ds:schemaRef ds:uri="http://schemas.microsoft.com/office/infopath/2007/PartnerControls"/>
    <ds:schemaRef ds:uri="http://schemas.microsoft.com/sharepoint/v3"/>
    <ds:schemaRef ds:uri="http://purl.org/dc/dcmitype/"/>
    <ds:schemaRef ds:uri="efd9c498-efb6-4a67-92eb-5d787b147d1d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260df36-bc43-424c-8f44-c85226657b01}" enabled="0" method="" siteId="{f260df36-bc43-424c-8f44-c85226657b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Villiere</dc:creator>
  <cp:keywords/>
  <dc:description/>
  <cp:lastModifiedBy>Philippe Tancelin</cp:lastModifiedBy>
  <cp:revision>2</cp:revision>
  <cp:lastPrinted>2025-03-20T14:35:00Z</cp:lastPrinted>
  <dcterms:created xsi:type="dcterms:W3CDTF">2025-12-12T09:44:00Z</dcterms:created>
  <dcterms:modified xsi:type="dcterms:W3CDTF">2025-12-12T09:44:00Z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0x01010079EC45F33AD203419BA762AB078F1BD7</vt:lpwstr>
  </property>
</Properties>
</file>